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《兴业银行深圳分行-深圳某高校差旅服务平台服务项目》供应商征集反馈材料-公司名称（全称）</w:t>
      </w:r>
    </w:p>
    <w:p>
      <w:pPr>
        <w:jc w:val="center"/>
        <w:rPr>
          <w:rFonts w:ascii="仿宋" w:hAnsi="仿宋" w:eastAsia="仿宋"/>
          <w:b/>
          <w:bCs/>
          <w:sz w:val="36"/>
          <w:szCs w:val="36"/>
        </w:rPr>
      </w:pPr>
    </w:p>
    <w:p>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pPr>
        <w:pStyle w:val="5"/>
        <w:tabs>
          <w:tab w:val="left" w:pos="992"/>
        </w:tabs>
        <w:ind w:firstLine="0" w:firstLineChars="0"/>
        <w:jc w:val="center"/>
        <w:outlineLvl w:val="0"/>
      </w:pPr>
      <w:r>
        <w:rPr>
          <w:rFonts w:hint="eastAsia" w:ascii="仿宋" w:hAnsi="仿宋" w:eastAsia="仿宋"/>
          <w:b/>
          <w:bCs/>
        </w:rPr>
        <w:t>第四部分 对应页码P41-P50</w:t>
      </w:r>
    </w:p>
    <w:p>
      <w:pPr>
        <w:pStyle w:val="15"/>
      </w:pPr>
    </w:p>
    <w:p>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1.1本次项目采购差旅服务平台，服务地点为深圳市，采购标的的使用场景为学校财务管理系统与差旅系统对接，差旅结算资金通过我行账户流转。主要服务内容重点包括在线申请、在线订票、一键报销、三端支持、系统集成、财务系统对接、OA系统对接、人员同步、其他增值服务等内容。合同有效期为五年。</w:t>
            </w:r>
          </w:p>
        </w:tc>
        <w:tc>
          <w:tcPr>
            <w:tcW w:w="1183" w:type="pct"/>
            <w:vAlign w:val="center"/>
          </w:tcPr>
          <w:p>
            <w:pPr>
              <w:spacing w:line="320" w:lineRule="exact"/>
              <w:rPr>
                <w:rFonts w:ascii="仿宋" w:hAnsi="仿宋" w:eastAsia="仿宋" w:cs="仿宋"/>
                <w:kern w:val="0"/>
                <w:sz w:val="32"/>
                <w:szCs w:val="32"/>
                <w:lang w:bidi="ar"/>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topLinePunct w:val="0"/>
              <w:spacing w:line="579" w:lineRule="exact"/>
              <w:outlineLvl w:val="1"/>
              <w:rPr>
                <w:rFonts w:hint="eastAsia" w:ascii="仿宋" w:hAnsi="仿宋" w:eastAsia="仿宋" w:cs="仿宋"/>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1供应商提供的差旅服务平台应成熟稳定且功能完善，功能性需求至少包括：预定报销-出差申请（与财务管理软件实时对接关联项目预算等）、行程预定、差旅报销（自动开票，预生成智能报销预约填报信息等）、全流程线上审批、差旅结算、商旅管理、数据分析统计、系统对接、定制开发、团队业务（提供批量预定服务）、自带商旅供应商、对账、出行系统服务保障等。</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.2供应商提供的差旅服务平台应包括以下非功能性需求：高精度（金额、时间型数据）、高性能、响应时间快、系统具有可拓展性、易用性、安全性等。</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供应商提供的差旅服务平台能够免费与高校的财务管理软件对接，H5接入及相应配套改造，能够实现数据实时交互，实现差标管控、结算管理、差旅产品预定与退订等功能；能够免费提供因供应商系统版本升级引起的数据接口改造。</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.4供应商能确保差旅服务快速交付，提供的平台应具备并发处理能力，确保支持高并发API调用。系统需具备处理突发大量请求的能力，确保高峰期仍能保持一致的性能表现，提供稳定的用户体验。</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.5供应商提供的差旅服务平台应兼容主流的浏览器（如Chrome、Firefox、Safari等）和移动设备（如Ios、Android等），确保用户在不同设备上都能正常使用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w:t>
            </w:r>
            <w:r>
              <w:rPr>
                <w:rFonts w:hint="eastAsia" w:ascii="仿宋" w:hAnsi="仿宋" w:eastAsia="仿宋" w:cs="仿宋"/>
                <w:sz w:val="28"/>
                <w:szCs w:val="28"/>
                <w:lang w:eastAsia="zh-CN"/>
              </w:rPr>
              <w:t>人员资质</w:t>
            </w:r>
            <w:r>
              <w:rPr>
                <w:rFonts w:hint="eastAsia" w:ascii="仿宋" w:hAnsi="仿宋" w:eastAsia="仿宋" w:cs="仿宋"/>
                <w:sz w:val="28"/>
                <w:szCs w:val="2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1.3.1供应商应配备专业项目团队，团队成员不低于5人，并指定项目负责人、技术负责人各1名，明确专人负责项目的实施、验收和售后服务事项，在系统安装实施期间要求至少一名人员进行驻场服务。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1.4服务要求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.1供应商提供7(天)x24(小时)的订票咨询服务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1.4.2专职技术服务人员提供维护（至少包含技术服务、系统维护、免费升级、电话、微信咨询、系统培训等）和技术服务支待；在服务期内，至少安排1名技术人员服务，软件在运行过程中如果有问题，能够在120分钟内响应，240分钟内处理完成，重大问题或个性化需求应在一周内提供解决方案。</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val="en-US" w:eastAsia="zh-CN"/>
              </w:rPr>
              <w:t>5</w:t>
            </w:r>
            <w:r>
              <w:rPr>
                <w:rFonts w:hint="eastAsia" w:ascii="仿宋" w:hAnsi="仿宋" w:eastAsia="仿宋" w:cs="仿宋"/>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1.5.1 企业成立3年以上，经营正常，可稳定提供服务。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lang w:val="en-US" w:eastAsia="zh-CN"/>
              </w:rPr>
              <w:t>5</w:t>
            </w:r>
            <w:r>
              <w:rPr>
                <w:rFonts w:ascii="仿宋" w:hAnsi="仿宋" w:eastAsia="仿宋" w:cs="仿宋"/>
                <w:sz w:val="28"/>
                <w:szCs w:val="28"/>
              </w:rPr>
              <w:t>.</w:t>
            </w:r>
            <w:r>
              <w:rPr>
                <w:rFonts w:hint="eastAsia" w:ascii="仿宋" w:hAnsi="仿宋" w:eastAsia="仿宋" w:cs="仿宋"/>
                <w:sz w:val="28"/>
                <w:szCs w:val="28"/>
                <w:lang w:val="en-US" w:eastAsia="zh-CN"/>
              </w:rPr>
              <w:t>2具备2023年1月1日至今与21家国内系统重要性银行分行级/或其子公司合作开展与本项目相似的成功案例（须提供相关案例合同证明材料,并标示相关内容，合同金额不少于60万元，以合同签订日期为准)。备注：①供应商若只提供一个符合要求的案例，则默认为该供应商仅有一个案例符合要求；②若供应商有多个案例符合要求，请供应商提供多个符合要求的案例。</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2.1依法成立，为存续、在营、开业、在册、登记成立等正常企业状态。</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2.2在兴业银行开立对公账户，若中标本项目，则通过兴业银行对公账户结算该项目相关费用。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2.3充分理解我行服务需求并能够根据需求提供相应的服务。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2.4具有良好的商业信誉和财务情况。</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2.5依法缴纳税收和社会保障资金。</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2.6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2.7经营范围经国家行政管理部门依法批准，同时获得从事行业有效执业证明、行政许可、专业资质等证照。</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2.8两年内目标服务领域未出现严重安全事件。</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bl>
    <w:p>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三、</w:t>
            </w:r>
          </w:p>
          <w:p>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姓名：</w:t>
            </w:r>
          </w:p>
          <w:p>
            <w:pPr>
              <w:spacing w:line="440" w:lineRule="exact"/>
              <w:rPr>
                <w:rFonts w:ascii="仿宋" w:hAnsi="仿宋" w:eastAsia="仿宋" w:cs="仿宋"/>
                <w:sz w:val="28"/>
                <w:szCs w:val="28"/>
              </w:rPr>
            </w:pPr>
            <w:r>
              <w:rPr>
                <w:rFonts w:hint="eastAsia" w:ascii="仿宋" w:hAnsi="仿宋" w:eastAsia="仿宋" w:cs="仿宋"/>
                <w:sz w:val="28"/>
                <w:szCs w:val="28"/>
              </w:rPr>
              <w:t>职务：</w:t>
            </w:r>
          </w:p>
          <w:p>
            <w:pPr>
              <w:spacing w:line="440" w:lineRule="exact"/>
              <w:rPr>
                <w:rFonts w:ascii="仿宋" w:hAnsi="仿宋" w:eastAsia="仿宋" w:cs="仿宋"/>
                <w:sz w:val="28"/>
                <w:szCs w:val="28"/>
              </w:rPr>
            </w:pPr>
            <w:r>
              <w:rPr>
                <w:rFonts w:hint="eastAsia" w:ascii="仿宋" w:hAnsi="仿宋" w:eastAsia="仿宋" w:cs="仿宋"/>
                <w:sz w:val="28"/>
                <w:szCs w:val="28"/>
              </w:rPr>
              <w:t>手机：</w:t>
            </w:r>
          </w:p>
          <w:p>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pPr>
              <w:pStyle w:val="15"/>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仿宋"/>
          <w:i w:val="0"/>
          <w:iCs w:val="0"/>
          <w:caps w:val="0"/>
          <w:color w:val="auto"/>
          <w:spacing w:val="0"/>
          <w:kern w:val="0"/>
          <w:sz w:val="32"/>
          <w:szCs w:val="32"/>
          <w:highlight w:val="none"/>
          <w:lang w:val="en-US" w:eastAsia="zh-CN" w:bidi="ar"/>
        </w:rPr>
        <w:t>具备2023年1月1日至今与21家国内系统重要性银行分行级/或其子公司合作开展与本项目相似的成功案例（须提供相关案例合同证明材料,并标示相关内容，合同金额不少于60万元，以合同签订日期为准)。</w:t>
      </w:r>
      <w:bookmarkStart w:id="1" w:name="_GoBack"/>
      <w:bookmarkEnd w:id="1"/>
      <w:r>
        <w:rPr>
          <w:rFonts w:hint="eastAsia" w:ascii="仿宋" w:hAnsi="仿宋" w:eastAsia="仿宋" w:cs="宋体"/>
          <w:color w:val="000000"/>
          <w:kern w:val="0"/>
          <w:sz w:val="32"/>
          <w:szCs w:val="32"/>
        </w:rPr>
        <w:t>备注：①供应商若只提供一个符合要求的案例，则默认为该供应商仅有一个案例符合要求；②若供应商有多个案例符合要求，请供应商提供多个符合要求的案例。</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1"/>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bl>
    <w:p>
      <w:pPr>
        <w:topLinePunct w:val="0"/>
        <w:spacing w:line="579" w:lineRule="exact"/>
        <w:jc w:val="left"/>
        <w:outlineLvl w:val="0"/>
        <w:rPr>
          <w:rFonts w:ascii="宋体" w:hAnsi="宋体" w:cs="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0EC4278"/>
    <w:rsid w:val="022608D0"/>
    <w:rsid w:val="02F72BF6"/>
    <w:rsid w:val="03735996"/>
    <w:rsid w:val="0518316D"/>
    <w:rsid w:val="06F86757"/>
    <w:rsid w:val="09B71346"/>
    <w:rsid w:val="0C894020"/>
    <w:rsid w:val="0D2D19A9"/>
    <w:rsid w:val="0DED7F9F"/>
    <w:rsid w:val="0FDC732D"/>
    <w:rsid w:val="13273FF1"/>
    <w:rsid w:val="13DD0D7A"/>
    <w:rsid w:val="198E6227"/>
    <w:rsid w:val="1D3E218A"/>
    <w:rsid w:val="213C1A54"/>
    <w:rsid w:val="23F06269"/>
    <w:rsid w:val="264079B7"/>
    <w:rsid w:val="26EA6341"/>
    <w:rsid w:val="31210B26"/>
    <w:rsid w:val="365B1D40"/>
    <w:rsid w:val="36E905A3"/>
    <w:rsid w:val="3B6C3489"/>
    <w:rsid w:val="3DA253E2"/>
    <w:rsid w:val="406D1DE7"/>
    <w:rsid w:val="411A3BD9"/>
    <w:rsid w:val="4387636B"/>
    <w:rsid w:val="4C7622A1"/>
    <w:rsid w:val="4FFD05E3"/>
    <w:rsid w:val="503B1E49"/>
    <w:rsid w:val="57055882"/>
    <w:rsid w:val="5966279D"/>
    <w:rsid w:val="5B2C5871"/>
    <w:rsid w:val="5DF42C02"/>
    <w:rsid w:val="61EB3135"/>
    <w:rsid w:val="67D50383"/>
    <w:rsid w:val="72925270"/>
    <w:rsid w:val="730F1C81"/>
    <w:rsid w:val="79330017"/>
    <w:rsid w:val="79AA78B0"/>
    <w:rsid w:val="7A582F1F"/>
    <w:rsid w:val="7B0D52CF"/>
    <w:rsid w:val="7B1C2F4A"/>
    <w:rsid w:val="7C431BDB"/>
    <w:rsid w:val="7CA21615"/>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6">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tabs>
        <w:tab w:val="left" w:pos="0"/>
        <w:tab w:val="left" w:pos="993"/>
        <w:tab w:val="left" w:pos="1134"/>
      </w:tabs>
      <w:spacing w:line="312" w:lineRule="atLeast"/>
      <w:ind w:firstLine="420"/>
    </w:p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envelope return"/>
    <w:basedOn w:val="1"/>
    <w:unhideWhenUsed/>
    <w:qFormat/>
    <w:uiPriority w:val="99"/>
    <w:pPr>
      <w:snapToGrid w:val="0"/>
    </w:pPr>
    <w:rPr>
      <w:rFonts w:ascii="Arial" w:hAnsi="Arial"/>
    </w:rPr>
  </w:style>
  <w:style w:type="paragraph" w:customStyle="1" w:styleId="5">
    <w:name w:val="正文格式"/>
    <w:basedOn w:val="1"/>
    <w:qFormat/>
    <w:uiPriority w:val="0"/>
    <w:pPr>
      <w:ind w:firstLine="200" w:firstLineChars="200"/>
    </w:pPr>
    <w:rPr>
      <w:rFonts w:ascii="宋体" w:hAnsi="宋体" w:eastAsia="彩虹粗仿宋"/>
      <w:sz w:val="28"/>
      <w:szCs w:val="2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rPr>
  </w:style>
  <w:style w:type="paragraph" w:styleId="10">
    <w:name w:val="HTML Preformatted"/>
    <w:basedOn w:val="1"/>
    <w:semiHidden/>
    <w:qFormat/>
    <w:uiPriority w:val="0"/>
    <w:pPr>
      <w:topLinePunct w:val="0"/>
    </w:pPr>
    <w:rPr>
      <w:rFonts w:ascii="Courier New" w:hAnsi="Courier New" w:cs="Courier New"/>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basedOn w:val="13"/>
    <w:qFormat/>
    <w:uiPriority w:val="0"/>
    <w:rPr>
      <w:rFonts w:ascii="仿宋_GB2312" w:hAnsi="仿宋"/>
      <w:bCs/>
      <w:color w:val="000000"/>
      <w:szCs w:val="28"/>
      <w:vertAlign w:val="superscript"/>
    </w:rPr>
  </w:style>
  <w:style w:type="paragraph" w:customStyle="1" w:styleId="15">
    <w:name w:val="正文首行缩进 21"/>
    <w:basedOn w:val="16"/>
    <w:qFormat/>
    <w:uiPriority w:val="0"/>
    <w:pPr>
      <w:widowControl/>
      <w:ind w:firstLine="420"/>
    </w:pPr>
    <w:rPr>
      <w:szCs w:val="20"/>
    </w:rPr>
  </w:style>
  <w:style w:type="paragraph" w:customStyle="1" w:styleId="16">
    <w:name w:val="正文文本缩进1"/>
    <w:basedOn w:val="1"/>
    <w:qFormat/>
    <w:uiPriority w:val="0"/>
    <w:pPr>
      <w:spacing w:line="500" w:lineRule="exact"/>
      <w:ind w:firstLine="880"/>
    </w:pPr>
    <w:rPr>
      <w:szCs w:val="22"/>
    </w:rPr>
  </w:style>
  <w:style w:type="character" w:customStyle="1" w:styleId="17">
    <w:name w:val="页眉 Char"/>
    <w:basedOn w:val="13"/>
    <w:link w:val="8"/>
    <w:qFormat/>
    <w:uiPriority w:val="0"/>
    <w:rPr>
      <w:kern w:val="2"/>
      <w:sz w:val="18"/>
      <w:szCs w:val="18"/>
    </w:rPr>
  </w:style>
  <w:style w:type="character" w:customStyle="1" w:styleId="18">
    <w:name w:val="页脚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CIBSZ</Company>
  <Pages>12</Pages>
  <Words>317</Words>
  <Characters>1813</Characters>
  <Lines>15</Lines>
  <Paragraphs>4</Paragraphs>
  <TotalTime>2</TotalTime>
  <ScaleCrop>false</ScaleCrop>
  <LinksUpToDate>false</LinksUpToDate>
  <CharactersWithSpaces>2126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杨欣然</cp:lastModifiedBy>
  <cp:lastPrinted>2026-04-17T03:55:00Z</cp:lastPrinted>
  <dcterms:modified xsi:type="dcterms:W3CDTF">2026-06-02T10:07:30Z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6FA2AE60C8794A2CB42EB748048A9652</vt:lpwstr>
  </property>
</Properties>
</file>